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TERMENI ȘI CONDIȚII</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PREMIUL REGIONAL pentru PRACTICI EFICIENTE de SERVICE-LEARNING</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ASPECTUL  FORMAL: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53" w:right="0" w:hanging="393"/>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PERIOADA DE IMPLEMENTARE: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Datele de începere și finalizare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ale proiectului de Service-Learning trebuie menționate clar în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Formularul de înscriere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 lângă respectarea regulamentului competiției, acest fapt ajută echipa de evaluatori să înțeleagă care etape au fost încheiate și ce a rămas de făcut.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În această ediție a concursului vor fi jurizate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proiectele care au început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în anii școlari </w:t>
      </w:r>
      <w:r w:rsidDel="00000000" w:rsidR="00000000" w:rsidRPr="00000000">
        <w:rPr>
          <w:rFonts w:ascii="Cambria" w:cs="Cambria" w:eastAsia="Cambria" w:hAnsi="Cambria"/>
          <w:b w:val="1"/>
          <w:i w:val="0"/>
          <w:smallCaps w:val="0"/>
          <w:strike w:val="0"/>
          <w:color w:val="000000"/>
          <w:sz w:val="22"/>
          <w:szCs w:val="22"/>
          <w:highlight w:val="white"/>
          <w:u w:val="none"/>
          <w:vertAlign w:val="baseline"/>
          <w:rtl w:val="0"/>
        </w:rPr>
        <w:t xml:space="preserve">201</w:t>
      </w:r>
      <w:r w:rsidDel="00000000" w:rsidR="00000000" w:rsidRPr="00000000">
        <w:rPr>
          <w:rFonts w:ascii="Cambria" w:cs="Cambria" w:eastAsia="Cambria" w:hAnsi="Cambria"/>
          <w:b w:val="1"/>
          <w:sz w:val="22"/>
          <w:szCs w:val="22"/>
          <w:highlight w:val="white"/>
          <w:rtl w:val="0"/>
        </w:rPr>
        <w:t xml:space="preserve">9</w:t>
      </w:r>
      <w:r w:rsidDel="00000000" w:rsidR="00000000" w:rsidRPr="00000000">
        <w:rPr>
          <w:rFonts w:ascii="Cambria" w:cs="Cambria" w:eastAsia="Cambria" w:hAnsi="Cambria"/>
          <w:b w:val="1"/>
          <w:i w:val="0"/>
          <w:smallCaps w:val="0"/>
          <w:strike w:val="0"/>
          <w:color w:val="000000"/>
          <w:sz w:val="22"/>
          <w:szCs w:val="22"/>
          <w:highlight w:val="white"/>
          <w:u w:val="none"/>
          <w:vertAlign w:val="baseline"/>
          <w:rtl w:val="0"/>
        </w:rPr>
        <w:t xml:space="preserve">/</w:t>
      </w:r>
      <w:r w:rsidDel="00000000" w:rsidR="00000000" w:rsidRPr="00000000">
        <w:rPr>
          <w:rFonts w:ascii="Cambria" w:cs="Cambria" w:eastAsia="Cambria" w:hAnsi="Cambria"/>
          <w:b w:val="1"/>
          <w:sz w:val="22"/>
          <w:szCs w:val="22"/>
          <w:highlight w:val="white"/>
          <w:rtl w:val="0"/>
        </w:rPr>
        <w:t xml:space="preserve">20</w:t>
      </w:r>
      <w:r w:rsidDel="00000000" w:rsidR="00000000" w:rsidRPr="00000000">
        <w:rPr>
          <w:rFonts w:ascii="Cambria" w:cs="Cambria" w:eastAsia="Cambria" w:hAnsi="Cambria"/>
          <w:b w:val="1"/>
          <w:i w:val="0"/>
          <w:smallCaps w:val="0"/>
          <w:strike w:val="0"/>
          <w:color w:val="000000"/>
          <w:sz w:val="22"/>
          <w:szCs w:val="22"/>
          <w:highlight w:val="white"/>
          <w:u w:val="none"/>
          <w:vertAlign w:val="baseline"/>
          <w:rtl w:val="0"/>
        </w:rPr>
        <w:t xml:space="preserve"> sau 20</w:t>
      </w:r>
      <w:r w:rsidDel="00000000" w:rsidR="00000000" w:rsidRPr="00000000">
        <w:rPr>
          <w:rFonts w:ascii="Cambria" w:cs="Cambria" w:eastAsia="Cambria" w:hAnsi="Cambria"/>
          <w:b w:val="1"/>
          <w:sz w:val="22"/>
          <w:szCs w:val="22"/>
          <w:highlight w:val="white"/>
          <w:rtl w:val="0"/>
        </w:rPr>
        <w:t xml:space="preserve">20</w:t>
      </w:r>
      <w:r w:rsidDel="00000000" w:rsidR="00000000" w:rsidRPr="00000000">
        <w:rPr>
          <w:rFonts w:ascii="Cambria" w:cs="Cambria" w:eastAsia="Cambria" w:hAnsi="Cambria"/>
          <w:b w:val="1"/>
          <w:i w:val="0"/>
          <w:smallCaps w:val="0"/>
          <w:strike w:val="0"/>
          <w:color w:val="000000"/>
          <w:sz w:val="22"/>
          <w:szCs w:val="22"/>
          <w:highlight w:val="white"/>
          <w:u w:val="none"/>
          <w:vertAlign w:val="baseline"/>
          <w:rtl w:val="0"/>
        </w:rPr>
        <w:t xml:space="preserve">/</w:t>
      </w:r>
      <w:r w:rsidDel="00000000" w:rsidR="00000000" w:rsidRPr="00000000">
        <w:rPr>
          <w:rFonts w:ascii="Cambria" w:cs="Cambria" w:eastAsia="Cambria" w:hAnsi="Cambria"/>
          <w:b w:val="1"/>
          <w:sz w:val="22"/>
          <w:szCs w:val="22"/>
          <w:highlight w:val="white"/>
          <w:rtl w:val="0"/>
        </w:rPr>
        <w:t xml:space="preserve">21</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și </w:t>
      </w:r>
      <w:r w:rsidDel="00000000" w:rsidR="00000000" w:rsidRPr="00000000">
        <w:rPr>
          <w:rFonts w:ascii="Cambria" w:cs="Cambria" w:eastAsia="Cambria" w:hAnsi="Cambria"/>
          <w:b w:val="1"/>
          <w:sz w:val="22"/>
          <w:szCs w:val="22"/>
          <w:rtl w:val="0"/>
        </w:rPr>
        <w:t xml:space="preserve">sunt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sz w:val="22"/>
          <w:szCs w:val="22"/>
          <w:rtl w:val="0"/>
        </w:rPr>
        <w:t xml:space="preserve">finalizate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înainte de 30 </w:t>
      </w:r>
      <w:r w:rsidDel="00000000" w:rsidR="00000000" w:rsidRPr="00000000">
        <w:rPr>
          <w:rFonts w:ascii="Cambria" w:cs="Cambria" w:eastAsia="Cambria" w:hAnsi="Cambria"/>
          <w:b w:val="1"/>
          <w:sz w:val="22"/>
          <w:szCs w:val="22"/>
          <w:rtl w:val="0"/>
        </w:rPr>
        <w:t xml:space="preserve">iun</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ie 202</w:t>
      </w:r>
      <w:r w:rsidDel="00000000" w:rsidR="00000000" w:rsidRPr="00000000">
        <w:rPr>
          <w:rFonts w:ascii="Cambria" w:cs="Cambria" w:eastAsia="Cambria" w:hAnsi="Cambria"/>
          <w:b w:val="1"/>
          <w:sz w:val="22"/>
          <w:szCs w:val="22"/>
          <w:rtl w:val="0"/>
        </w:rPr>
        <w:t xml:space="preserve">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Dacă nu îndepliniți această condiție, proiectul nu poate fi evaluat în întregime.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53" w:right="0" w:hanging="393"/>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ACORDUL CONDUCERII</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 ESENȚIAL ca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Formularul de înscriere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proiectului în concurs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să aibă ștampila și semnătura directorului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(sau  ștampila și semnătura  conducerii instituției / organizației non-guvernamentale sub supravegherea căreia ați implementat proiectul de Service-Learning)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Dacă nu îndepliniți</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această condiție, proiectul nu poate fi înscris în competiție.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53" w:right="0" w:hanging="393"/>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FORMA ÎN CARE TREBUIE TRIMITIS PROIECTUL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Formularul de înscriere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va fi acceptat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doar în format electronic - PDF, la adresa de email:</w:t>
      </w:r>
      <w:r w:rsidDel="00000000" w:rsidR="00000000" w:rsidRPr="00000000">
        <w:rPr>
          <w:rFonts w:ascii="Times New Roman" w:cs="Times New Roman" w:eastAsia="Times New Roman" w:hAnsi="Times New Roman"/>
          <w:b w:val="1"/>
          <w:i w:val="0"/>
          <w:smallCaps w:val="0"/>
          <w:strike w:val="0"/>
          <w:color w:val="ff2600"/>
          <w:sz w:val="22"/>
          <w:szCs w:val="22"/>
          <w:u w:val="none"/>
          <w:shd w:fill="auto" w:val="clear"/>
          <w:vertAlign w:val="baseline"/>
          <w:rtl w:val="0"/>
        </w:rPr>
        <w:t xml:space="preserve"> </w:t>
      </w:r>
      <w:r w:rsidDel="00000000" w:rsidR="00000000" w:rsidRPr="00000000">
        <w:rPr>
          <w:rFonts w:ascii="Cambria" w:cs="Cambria" w:eastAsia="Cambria" w:hAnsi="Cambria"/>
          <w:b w:val="1"/>
          <w:sz w:val="22"/>
          <w:szCs w:val="22"/>
          <w:rtl w:val="0"/>
        </w:rPr>
        <w:t xml:space="preserve"> </w:t>
      </w:r>
      <w:hyperlink r:id="rId7">
        <w:r w:rsidDel="00000000" w:rsidR="00000000" w:rsidRPr="00000000">
          <w:rPr>
            <w:rFonts w:ascii="Cambria" w:cs="Cambria" w:eastAsia="Cambria" w:hAnsi="Cambria"/>
            <w:b w:val="1"/>
            <w:color w:val="0000ff"/>
            <w:sz w:val="22"/>
            <w:szCs w:val="22"/>
            <w:u w:val="single"/>
            <w:rtl w:val="0"/>
          </w:rPr>
          <w:t xml:space="preserve">cee.sl.award@ioskole.net</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sz w:val="22"/>
          <w:szCs w:val="22"/>
          <w:rtl w:val="0"/>
        </w:rPr>
        <w:t xml:space="preserve"> iar în CC: </w:t>
      </w:r>
      <w:r w:rsidDel="00000000" w:rsidR="00000000" w:rsidRPr="00000000">
        <w:rPr>
          <w:rFonts w:ascii="Cambria" w:cs="Cambria" w:eastAsia="Cambria" w:hAnsi="Cambria"/>
          <w:b w:val="1"/>
          <w:color w:val="0000ff"/>
          <w:sz w:val="22"/>
          <w:szCs w:val="22"/>
          <w:u w:val="single"/>
          <w:rtl w:val="0"/>
        </w:rPr>
        <w:t xml:space="preserve">simina.bejenaru@transylvania-college.ro</w:t>
      </w:r>
      <w:r w:rsidDel="00000000" w:rsidR="00000000" w:rsidRPr="00000000">
        <w:rPr>
          <w:rFonts w:ascii="Cambria" w:cs="Cambria" w:eastAsia="Cambria" w:hAnsi="Cambria"/>
          <w:sz w:val="22"/>
          <w:szCs w:val="22"/>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precizând numele țării în subiectul/titlul </w:t>
      </w:r>
      <w:r w:rsidDel="00000000" w:rsidR="00000000" w:rsidRPr="00000000">
        <w:rPr>
          <w:b w:val="1"/>
          <w:sz w:val="22"/>
          <w:szCs w:val="22"/>
          <w:rtl w:val="0"/>
        </w:rPr>
        <w:t xml:space="preserve">mesajului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apoi numele proiectului.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Exemplu: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Romania_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……(titlul proiectului).</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 lângă formularul propriu-zis de aplicație, este de preferat să atașați dovezi ale implementării activităților (ca documente separate). Veți oferi astfel o imagine mai amplă și mai clară asupra proiectului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(documente/indicatori care reflectă procesul și rezultatele; testimoniale, materiale promoționale, afișe, materiale audio-video, link-uri media etc.).</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ASPECTE ALE PROIECTULUI /DEFINIȚII:</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În completarea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Formularului de înscriere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vă sugerăm să vă referiți la următoarele aspecte ale proiectului de Service-Learning:</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3" w:right="0" w:hanging="3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MOTIVAREA  ȘI  ROLUL DE LIDER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În metodologia Service-Learning elevii nu sunt considerați beneficiari, ci protagoniști ai activităților îndreptate spre comunitate.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Participarea ca drept este o practică esențială în societățile democratice, iar acest tip de proiect presupune ca elevii să fie implicați și dedicați unor acțiuni concrete menite să transforme și îmbunătățească ceva în societate.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În multe cazuri, elevii sunt implicați în proiecte de Service-Learning planificate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școală (de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conducere și/sau profesori), de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instituții sau autorități.</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Abordarea pedagogică numită Service-Learning își dorește să implice elevii în toate etapele proiectului: identificarea problemei, proiectarea activităților, implementarea, reflecția, evaluarea,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întrucât acești pași contribuie la dezvoltarea competențelor de lideri ale elevilor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DIAGNOZA. HARTA NEVOILOR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Prin diagnoză înțelegem efortul de colaborare pentru a identifica o nevoie reală și presantă a comunității, ce ar putea fi abordată de instituția educațională cu toate resursele umane și materiale disponibile, în măsura în care această experiență presupune o oportunitate de învățare pentru elevi.</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 important să se asigure participarea tuturor actorilor implicați în proces, în special a beneficiarilor acțiunilor. Un diagnostic participativ, în care comunitatea școlară și beneficiarii își pot face vocea ascultată, va fi benefic atât pentru eficacitatea diagnosticului, cât și pentru sustenabilitatea proiectului.</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 scurt, aria problemelor ar trebui să fie bine delimitată, relevantă pentru comunitate, pentru instituția de învățământ și să poată fi abordată de elevi.</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EXPERIENȚA DE SERVICE-LEARNING</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Practica Service-Learning implică acțiuni concrete și angajate ca răspuns la o problemă  reală, menită să o diminueze, să aducă îmbunătățiri, să o rezolve sau să contribuie, împreună cu alți actori, la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soluționarea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acesteia.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În experiențele Service-Learning, serviciul nu este înțeles ca și acțiune de caritate sau </w:t>
      </w:r>
      <w:r w:rsidDel="00000000" w:rsidR="00000000" w:rsidRPr="00000000">
        <w:rPr>
          <w:sz w:val="22"/>
          <w:szCs w:val="22"/>
          <w:rtl w:val="0"/>
        </w:rPr>
        <w:t xml:space="preserve">beneficență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Dimpotrivă, membrii comunității căreia i se adresează proiectul sunt considerați ca egali, li se recunosc nevoile, situațiile neplăcute, drepturile care ar trebui protejate și se reflectă în mod critic asupra acestora. Mai mult, sunt vizate contribuțiile lor în </w:t>
      </w:r>
      <w:r w:rsidDel="00000000" w:rsidR="00000000" w:rsidRPr="00000000">
        <w:rPr>
          <w:sz w:val="22"/>
          <w:szCs w:val="22"/>
          <w:rtl w:val="0"/>
        </w:rPr>
        <w:t xml:space="preserve">proiectul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Service-Learning, la diseminarea și la transformarea socială. Elevii efectuează acțiuni împreună cu comunitatea, nu pentru comunitate, deoarece protagoniștii înșiși învață și beneficiază și de această experiență.</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4. GRUPUL / COMUNITATEA ȚINTĂ. BENEFICIARII</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Înțelegem prin „beneficiari” sau „grupul / comunitatea țintă” doar pe aceia care beneficiază de acțiunea concretă de Service-Learning. Proiectele de Service-Learning propun o schimbare de perspectivă pentru „grupul / comunitatea țintă” sau „beneficiarii” activităților, care devin „co-protagoniști” împreună cu elevii.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Proiectul va include aspecte precum:</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6" w:right="0" w:hanging="19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numărul beneficiarilor direcți și indirecți, precum și detalii socio-economice, vârsta elevilor / cicluri de școlarizare, angajarea / ocupația, forța de muncă;</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6" w:right="0" w:hanging="19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tipul de populație (urban sau rural);</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6" w:right="0" w:hanging="19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persoane cu dizabilități sau probleme de sănătate;</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6" w:right="0" w:hanging="19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solicitanți de azil, imigranți, persoane private de libertate, minorități etc.</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În acest fel, este posibilă evaluarea gradului în care acțiunile Service-Learning propuse sunt </w:t>
      </w:r>
      <w:r w:rsidDel="00000000" w:rsidR="00000000" w:rsidRPr="00000000">
        <w:rPr>
          <w:sz w:val="22"/>
          <w:szCs w:val="22"/>
          <w:rtl w:val="0"/>
        </w:rPr>
        <w:t xml:space="preserve">adecvate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și sustenabile. Vă încurajăm să includeți informații detaliate despre beneficiarii proiectului și despre modul în care aceștia au participat la experiență.</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REȚEAUA COMUNITARĂ</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Experiențele de Service-Learning sunt îmbogățite atunci când se bazează pe acțiunea mai multor actori și sinergia altor instituții, organizații sociale,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corpuri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guvernamentale, întreprinderi, firme, companii care joacă un rol în comunitate și cu care este posibil să se încheie acorduri de colaborare, pacturi, alianțe sau rețele. Aceste conexiuni sunt o contribuție la durabilitatea experienței și promovează reciprocitatea pozitivă. Acestea implică colaborarea cu alți membri ai comunității care vizează în principal nevoile, identificarea problemelor și acțiunilor comunitare necesare, printr-o abordare inter-sectorială.</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LEGĂTURA CU CURRICULUMUL / DISCIPLINELE ȘCOLARE / CONȚINUTURILE ȘI COMPETENȚELE ACADEMICE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Proiectele de Service-Learning au o intenționalitate pedagogică, îmbunătățind calitatea învățării și oferind un răspuns activ la nevoile reale și urgente ale unei comunități.</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Pentru aceste propuneri este esențial ca aspectul academic, teoretic - conținutul curricular - să fie pus în practică pe parcursul acțiunilor proiectului și să le permită elevilor să dezvolte și cunoștințe / abilități / competențe academice.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Conectarea practicilor de Service-Learning cu învățarea formală permite elevilor să aplice cunoștințele și abilitățile dobândite la diferite materii în contexte reale și să dezvolte o cetățenie eficientă și activă în beneficiul comunității. Integrarea deliberată a experiențelor educaționale de tip Service-Learning cu conținutul curricular din anumite domenii promovează, de asemenea, o reflecție atentă asupra activităților și procesului de învățare.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Combinarea conținutului curricular îi determină pe elevi să-și construiască progresiv o viziune mai complexă asupra lumii, permițându-le, astfel, să abordeze mai bine problemele de zi cu zi. Interdisciplinaritatea -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între ariile curriculare sau între domenii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permite un mod de lucru multidimensional, deoarece abordează problemele din diferite perspective.</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7.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OBIECTIVELE  ACADEMICE / CURRICULARE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Obiectivele curriculare ar trebui să fie specifice și măsurabile. Acestea ar trebui să vizeze gradul de însușire a conținutului curricular implicat în dezvoltarea proiectului, concepte, metode, abilități și proceduri, precum și a unor valori și atitudini.</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OBIECTIVELE   SERVICIULUI  PENTRU COMUNITATE</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Obiectivele serviciului pentru comunitate sunt, de asemenea, specifice și măsurabile, dar se referă la serviciul pentru comunitate. Utilizați unui limbaj simplu pentru a explica realizările așteptate privind diminuarea, îmbunătățirea sau rezolvarea problemei care trebuie abordată.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Pot fi considerate „scopuri de atins”.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Totodată, ar trebui să fie suficient de flexibile pentru a putea fi ajustate în funcție de diferitele circumstanțe ce apar pe parcursul proiectului.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Vă sugerăm să indicați clar obiectivele proiectului, astfel încât acestea să fie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deopotrivă detaliate, clare și precise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EVALUAREA CONTINUĂ</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Evaluarea este un proces care vizează reflecția asupra realizărilor și efectelor acțiunilor întreprinse,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pentru a putea aprecia progresul, corecta greșelile și face schimbările sau ajustările necesare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după caz. De asemenea, implică determinarea măsurii în care etapele planificate au fost respectate și obiectivele așteptate au fost atinse.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 intermediul procesului de evaluare continuă sau de monitorizare a unui proiect, este posibil să verificați rezultatele și realizările parțiale / finale și să reglați anumite aspecte sau să continuați parcursul învățării / acțiunii de Service-Learning / experienței în ansamblu.</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dezirabil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 procesul de evaluare să implice toți actorii experienței Service-Learning și să fie realizat într-un mod participativ și democratic. Este important să luați în considerare nu numai aspectele cantitative, ci și cele calitative ale experienței, să fiți pregătiți pentru evenimente neprevăzute și consecințele acestora, să îmbrățișați procesul și nu numai rezultatele.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Momentele de evaluare pot permite și instituției educaționale să evalueze impactul proiectului de Service-Learning asupra rezultatelor academice ale elevilor, asupra participării instituționale și asupra retenției școlare.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CELEBRAREA</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În pedagogia Service-Learning, sărbătorirea este un moment de retrăire și împărtășire a experiențelor. Recunoașterea și celebrarea consolidează respectul de sine individual și de grup și crește recunoașterea realizărilor în ansamblu. Sărbătoarea oferă o recunoaștere meritată a comunității pentru protagoniștii experienței de Service-Learning. Aceasta contribuie la destrămarea stereotipurilor și prejudecăților și aruncă o lumină asupra angajamentului și acțiunilor copiilor și tinerilor. De obicei, sărbătorile sunt deschise unui cerc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larg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participanți / invitați și reprezintă locul în care se acordă certificate, diplome, medalii sau orice alte forme de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apreciere formală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REFLECŢIA</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Reflectarea asupra practicilor promovează ancorarea, introspecția, conștientizarea de sine și relațiile de grup.</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Activitățile de reflecție permit, de asemenea, elevilor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să devină conștienți de propria învățare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sz w:val="22"/>
          <w:szCs w:val="22"/>
          <w:rtl w:val="0"/>
        </w:rPr>
        <w:t xml:space="preserve">să-și</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antreneze gândirea critică și implicarea civică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Aceste propuneri oferă elevilor oportunitatea de a-și exercita drepturile și responsabilitățile, deoarece sunt implicați în probleme care îi preocupă și le afectează viața.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Metodologia de Service-Learning implică activități de formare care dezvoltă și întăresc procese de reflecție cu privire la binele comun, la problemele publice,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totul într-un context care permite construirea propriei identități. Mai mult, aceste activități sunt un instrument esențial pentru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asigura feedback-ul din partea beneficiarilor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și un rol activ din partea tuturor participanților.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REZULTATE ȘI IMPACT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Rezultatele sau efectele oricărei experiențe de Service-Learning ar trebui să fie măsurabile, astfel încât acestea să arate schimbarea în comparație cu condițiile inițiale ale învățării și problema abordată, atingerea obiectivelor așteptate, impactul asupra performanței academice și calitatea vieții comunității beneficiarilor.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Aceste transformări pot fi înregistrate și prin testimoniale ce prezintă astfel de efecte. Se recomandă ca măsurarea impactului să nu se facă generic, ci pe baza obiectivelor de învățare și de serviciu anunțate și pe indicatori calitativi și cantitativi specifici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Monitorizarea constantă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unui proiect face posibilă verificarea rezultatelor și realizărilor parțiale / finale, corectarea, ajustarea unor aspecte sau continuarea pe aceeași cale. Acest proces de urmărire atentă include învățarea, acțiunile de Service-Learning și experiența în ansamblu. Astfel, puteți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explica cum au ajutat activitățile întreprinse la transformarea realității.</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ÎNREGISTRARE, SISTEMATIZARE ȘI COMUNICARE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Sistematizarea este colectarea de istorioare, testimoniale, mărturii, informații, identificând caracteristicile activităților desfășurate, punctele forte și punctele slabe ale experienței. Este, de asemenea, un mijloc de a construi cunoștințe colective, deoarece are ca scop obținerea unui produs final care să rezume întreaga experiență. O înregistrare sistematică face posibilă păstrarea „istoriei” proiectului și diseminarea acestuia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în rândul diferiților membri ai comunității, altor instituții etc.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Gradul de atenție la detalii și eficiență în sistematizare și comunicare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(în termeni atât de conținut, cât și de formă: ortografie, sintaxă, semantică etc.) poate avea un impact direct asupra calității finale a prezentării proiectului.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Uneori, când proiectul nu este suficient de bine descris sau explicat, evaluatorii nu își pot da seama că proiectul este de fapt bun. Sugestie: completați formularul de înscriere împreună cu elevi sau alți profesori implicați.</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pgSz w:h="15840" w:w="12240" w:orient="portrait"/>
      <w:pgMar w:bottom="720" w:top="720" w:left="720" w:right="720" w:header="17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8a3e"/>
        <w:sz w:val="22"/>
        <w:szCs w:val="22"/>
        <w:u w:val="none"/>
        <w:shd w:fill="auto" w:val="clear"/>
        <w:vertAlign w:val="baseline"/>
      </w:rPr>
    </w:pPr>
    <w:r w:rsidDel="00000000" w:rsidR="00000000" w:rsidRPr="00000000">
      <w:rPr>
        <w:rFonts w:ascii="Arial" w:cs="Arial" w:eastAsia="Arial" w:hAnsi="Arial"/>
        <w:b w:val="0"/>
        <w:i w:val="0"/>
        <w:smallCaps w:val="0"/>
        <w:strike w:val="0"/>
        <w:color w:val="008a3e"/>
        <w:sz w:val="22"/>
        <w:szCs w:val="22"/>
        <w:u w:val="none"/>
        <w:shd w:fill="auto" w:val="clear"/>
        <w:vertAlign w:val="baseline"/>
        <w:rtl w:val="0"/>
      </w:rPr>
      <w:t xml:space="preserve">Regional Award for Successful Service-Learning Practice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609600" cy="609600"/>
          <wp:effectExtent b="0" l="0" r="0" t="0"/>
          <wp:docPr descr="s200_mary_ward_loreto_foundation.in_albania.jpg" id="1073741839" name="image1.jpg"/>
          <a:graphic>
            <a:graphicData uri="http://schemas.openxmlformats.org/drawingml/2006/picture">
              <pic:pic>
                <pic:nvPicPr>
                  <pic:cNvPr descr="s200_mary_ward_loreto_foundation.in_albania.jpg" id="0" name="image1.jpg"/>
                  <pic:cNvPicPr preferRelativeResize="0"/>
                </pic:nvPicPr>
                <pic:blipFill>
                  <a:blip r:embed="rId1"/>
                  <a:srcRect b="0" l="0" r="0" t="0"/>
                  <a:stretch>
                    <a:fillRect/>
                  </a:stretch>
                </pic:blipFill>
                <pic:spPr>
                  <a:xfrm>
                    <a:off x="0" y="0"/>
                    <a:ext cx="609600" cy="609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714375" cy="556874"/>
          <wp:effectExtent b="0" l="0" r="0" t="0"/>
          <wp:docPr descr="download.png" id="1073741838" name="image8.png"/>
          <a:graphic>
            <a:graphicData uri="http://schemas.openxmlformats.org/drawingml/2006/picture">
              <pic:pic>
                <pic:nvPicPr>
                  <pic:cNvPr descr="download.png" id="0" name="image8.png"/>
                  <pic:cNvPicPr preferRelativeResize="0"/>
                </pic:nvPicPr>
                <pic:blipFill>
                  <a:blip r:embed="rId2"/>
                  <a:srcRect b="0" l="0" r="0" t="0"/>
                  <a:stretch>
                    <a:fillRect/>
                  </a:stretch>
                </pic:blipFill>
                <pic:spPr>
                  <a:xfrm>
                    <a:off x="0" y="0"/>
                    <a:ext cx="714375" cy="55687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81025" cy="581025"/>
          <wp:effectExtent b="0" l="0" r="0" t="0"/>
          <wp:docPr descr="download.jfif" id="1073741841" name="image7.jpg"/>
          <a:graphic>
            <a:graphicData uri="http://schemas.openxmlformats.org/drawingml/2006/picture">
              <pic:pic>
                <pic:nvPicPr>
                  <pic:cNvPr descr="download.jfif" id="0" name="image7.jpg"/>
                  <pic:cNvPicPr preferRelativeResize="0"/>
                </pic:nvPicPr>
                <pic:blipFill>
                  <a:blip r:embed="rId3"/>
                  <a:srcRect b="0" l="0" r="0" t="0"/>
                  <a:stretch>
                    <a:fillRect/>
                  </a:stretch>
                </pic:blipFill>
                <pic:spPr>
                  <a:xfrm>
                    <a:off x="0" y="0"/>
                    <a:ext cx="581025" cy="58102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792482" cy="286513"/>
          <wp:effectExtent b="0" l="0" r="0" t="0"/>
          <wp:docPr descr="Logo-OK.png" id="1073741840" name="image2.png"/>
          <a:graphic>
            <a:graphicData uri="http://schemas.openxmlformats.org/drawingml/2006/picture">
              <pic:pic>
                <pic:nvPicPr>
                  <pic:cNvPr descr="Logo-OK.png" id="0" name="image2.png"/>
                  <pic:cNvPicPr preferRelativeResize="0"/>
                </pic:nvPicPr>
                <pic:blipFill>
                  <a:blip r:embed="rId4"/>
                  <a:srcRect b="0" l="0" r="0" t="0"/>
                  <a:stretch>
                    <a:fillRect/>
                  </a:stretch>
                </pic:blipFill>
                <pic:spPr>
                  <a:xfrm>
                    <a:off x="0" y="0"/>
                    <a:ext cx="792482" cy="28651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42925" cy="542925"/>
          <wp:effectExtent b="0" l="0" r="0" t="0"/>
          <wp:docPr descr="download (1).jfif" id="1073741843" name="image5.jpg"/>
          <a:graphic>
            <a:graphicData uri="http://schemas.openxmlformats.org/drawingml/2006/picture">
              <pic:pic>
                <pic:nvPicPr>
                  <pic:cNvPr descr="download (1).jfif" id="0" name="image5.jpg"/>
                  <pic:cNvPicPr preferRelativeResize="0"/>
                </pic:nvPicPr>
                <pic:blipFill>
                  <a:blip r:embed="rId5"/>
                  <a:srcRect b="0" l="0" r="0" t="0"/>
                  <a:stretch>
                    <a:fillRect/>
                  </a:stretch>
                </pic:blipFill>
                <pic:spPr>
                  <a:xfrm>
                    <a:off x="0" y="0"/>
                    <a:ext cx="542925" cy="54292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28675" cy="273400"/>
          <wp:effectExtent b="0" l="0" r="0" t="0"/>
          <wp:docPr descr="download (2).jfif" id="1073741842" name="image4.jpg"/>
          <a:graphic>
            <a:graphicData uri="http://schemas.openxmlformats.org/drawingml/2006/picture">
              <pic:pic>
                <pic:nvPicPr>
                  <pic:cNvPr descr="download (2).jfif" id="0" name="image4.jpg"/>
                  <pic:cNvPicPr preferRelativeResize="0"/>
                </pic:nvPicPr>
                <pic:blipFill>
                  <a:blip r:embed="rId6"/>
                  <a:srcRect b="0" l="0" r="0" t="0"/>
                  <a:stretch>
                    <a:fillRect/>
                  </a:stretch>
                </pic:blipFill>
                <pic:spPr>
                  <a:xfrm>
                    <a:off x="0" y="0"/>
                    <a:ext cx="828675" cy="273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23875" cy="303296"/>
          <wp:effectExtent b="0" l="0" r="0" t="0"/>
          <wp:docPr descr="logo_pata.png" id="1073741844" name="image9.png"/>
          <a:graphic>
            <a:graphicData uri="http://schemas.openxmlformats.org/drawingml/2006/picture">
              <pic:pic>
                <pic:nvPicPr>
                  <pic:cNvPr descr="logo_pata.png" id="0" name="image9.png"/>
                  <pic:cNvPicPr preferRelativeResize="0"/>
                </pic:nvPicPr>
                <pic:blipFill>
                  <a:blip r:embed="rId7"/>
                  <a:srcRect b="0" l="0" r="0" t="0"/>
                  <a:stretch>
                    <a:fillRect/>
                  </a:stretch>
                </pic:blipFill>
                <pic:spPr>
                  <a:xfrm>
                    <a:off x="0" y="0"/>
                    <a:ext cx="523875" cy="30329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043252" cy="547939"/>
          <wp:effectExtent b="0" l="0" r="0" t="0"/>
          <wp:docPr descr="MIOS logo-finalni.png" id="1073741835" name="image3.png"/>
          <a:graphic>
            <a:graphicData uri="http://schemas.openxmlformats.org/drawingml/2006/picture">
              <pic:pic>
                <pic:nvPicPr>
                  <pic:cNvPr descr="MIOS logo-finalni.png" id="0" name="image3.png"/>
                  <pic:cNvPicPr preferRelativeResize="0"/>
                </pic:nvPicPr>
                <pic:blipFill>
                  <a:blip r:embed="rId1"/>
                  <a:srcRect b="0" l="0" r="0" t="0"/>
                  <a:stretch>
                    <a:fillRect/>
                  </a:stretch>
                </pic:blipFill>
                <pic:spPr>
                  <a:xfrm>
                    <a:off x="0" y="0"/>
                    <a:ext cx="1043252" cy="54793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214147" cy="866775"/>
          <wp:effectExtent b="0" l="0" r="0" t="0"/>
          <wp:docPr descr="LOGO - Service-Learning Award - transparent.png" id="1073741837" name="image10.png"/>
          <a:graphic>
            <a:graphicData uri="http://schemas.openxmlformats.org/drawingml/2006/picture">
              <pic:pic>
                <pic:nvPicPr>
                  <pic:cNvPr descr="LOGO - Service-Learning Award - transparent.png" id="0" name="image10.png"/>
                  <pic:cNvPicPr preferRelativeResize="0"/>
                </pic:nvPicPr>
                <pic:blipFill>
                  <a:blip r:embed="rId2"/>
                  <a:srcRect b="0" l="0" r="0" t="0"/>
                  <a:stretch>
                    <a:fillRect/>
                  </a:stretch>
                </pic:blipFill>
                <pic:spPr>
                  <a:xfrm>
                    <a:off x="0" y="0"/>
                    <a:ext cx="1214147" cy="86677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981075" cy="533918"/>
          <wp:effectExtent b="0" l="0" r="0" t="0"/>
          <wp:docPr descr="logo_clayss.jpg" id="1073741836" name="image6.jpg"/>
          <a:graphic>
            <a:graphicData uri="http://schemas.openxmlformats.org/drawingml/2006/picture">
              <pic:pic>
                <pic:nvPicPr>
                  <pic:cNvPr descr="logo_clayss.jpg" id="0" name="image6.jpg"/>
                  <pic:cNvPicPr preferRelativeResize="0"/>
                </pic:nvPicPr>
                <pic:blipFill>
                  <a:blip r:embed="rId3"/>
                  <a:srcRect b="0" l="0" r="0" t="0"/>
                  <a:stretch>
                    <a:fillRect/>
                  </a:stretch>
                </pic:blipFill>
                <pic:spPr>
                  <a:xfrm>
                    <a:off x="0" y="0"/>
                    <a:ext cx="981075" cy="5339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6" w:hanging="196"/>
      </w:pPr>
      <w:rPr>
        <w:smallCaps w:val="0"/>
        <w:strike w:val="0"/>
        <w:shd w:fill="auto" w:val="clear"/>
        <w:vertAlign w:val="baseline"/>
      </w:rPr>
    </w:lvl>
    <w:lvl w:ilvl="1">
      <w:start w:val="1"/>
      <w:numFmt w:val="bullet"/>
      <w:lvlText w:val="•"/>
      <w:lvlJc w:val="left"/>
      <w:pPr>
        <w:ind w:left="360" w:hanging="180"/>
      </w:pPr>
      <w:rPr>
        <w:smallCaps w:val="0"/>
        <w:strike w:val="0"/>
        <w:shd w:fill="auto" w:val="clear"/>
        <w:vertAlign w:val="baseline"/>
      </w:rPr>
    </w:lvl>
    <w:lvl w:ilvl="2">
      <w:start w:val="1"/>
      <w:numFmt w:val="bullet"/>
      <w:lvlText w:val="•"/>
      <w:lvlJc w:val="left"/>
      <w:pPr>
        <w:ind w:left="540" w:hanging="180"/>
      </w:pPr>
      <w:rPr>
        <w:smallCaps w:val="0"/>
        <w:strike w:val="0"/>
        <w:shd w:fill="auto" w:val="clear"/>
        <w:vertAlign w:val="baseline"/>
      </w:rPr>
    </w:lvl>
    <w:lvl w:ilvl="3">
      <w:start w:val="1"/>
      <w:numFmt w:val="bullet"/>
      <w:lvlText w:val="•"/>
      <w:lvlJc w:val="left"/>
      <w:pPr>
        <w:ind w:left="720" w:hanging="180"/>
      </w:pPr>
      <w:rPr>
        <w:smallCaps w:val="0"/>
        <w:strike w:val="0"/>
        <w:shd w:fill="auto" w:val="clear"/>
        <w:vertAlign w:val="baseline"/>
      </w:rPr>
    </w:lvl>
    <w:lvl w:ilvl="4">
      <w:start w:val="1"/>
      <w:numFmt w:val="bullet"/>
      <w:lvlText w:val="•"/>
      <w:lvlJc w:val="left"/>
      <w:pPr>
        <w:ind w:left="900" w:hanging="180"/>
      </w:pPr>
      <w:rPr>
        <w:smallCaps w:val="0"/>
        <w:strike w:val="0"/>
        <w:shd w:fill="auto" w:val="clear"/>
        <w:vertAlign w:val="baseline"/>
      </w:rPr>
    </w:lvl>
    <w:lvl w:ilvl="5">
      <w:start w:val="1"/>
      <w:numFmt w:val="bullet"/>
      <w:lvlText w:val="•"/>
      <w:lvlJc w:val="left"/>
      <w:pPr>
        <w:ind w:left="1080" w:hanging="180"/>
      </w:pPr>
      <w:rPr>
        <w:smallCaps w:val="0"/>
        <w:strike w:val="0"/>
        <w:shd w:fill="auto" w:val="clear"/>
        <w:vertAlign w:val="baseline"/>
      </w:rPr>
    </w:lvl>
    <w:lvl w:ilvl="6">
      <w:start w:val="1"/>
      <w:numFmt w:val="bullet"/>
      <w:lvlText w:val="•"/>
      <w:lvlJc w:val="left"/>
      <w:pPr>
        <w:ind w:left="1260" w:hanging="180"/>
      </w:pPr>
      <w:rPr>
        <w:smallCaps w:val="0"/>
        <w:strike w:val="0"/>
        <w:shd w:fill="auto" w:val="clear"/>
        <w:vertAlign w:val="baseline"/>
      </w:rPr>
    </w:lvl>
    <w:lvl w:ilvl="7">
      <w:start w:val="1"/>
      <w:numFmt w:val="bullet"/>
      <w:lvlText w:val="•"/>
      <w:lvlJc w:val="left"/>
      <w:pPr>
        <w:ind w:left="1440" w:hanging="180"/>
      </w:pPr>
      <w:rPr>
        <w:smallCaps w:val="0"/>
        <w:strike w:val="0"/>
        <w:shd w:fill="auto" w:val="clear"/>
        <w:vertAlign w:val="baseline"/>
      </w:rPr>
    </w:lvl>
    <w:lvl w:ilvl="8">
      <w:start w:val="1"/>
      <w:numFmt w:val="bullet"/>
      <w:lvlText w:val="•"/>
      <w:lvlJc w:val="left"/>
      <w:pPr>
        <w:ind w:left="1620" w:hanging="180"/>
      </w:pPr>
      <w:rPr>
        <w:smallCaps w:val="0"/>
        <w:strike w:val="0"/>
        <w:shd w:fill="auto" w:val="clear"/>
        <w:vertAlign w:val="baseline"/>
      </w:rPr>
    </w:lvl>
  </w:abstractNum>
  <w:abstractNum w:abstractNumId="2">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753" w:hanging="393"/>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abstractNum w:abstractNumId="3">
    <w:lvl w:ilvl="0">
      <w:start w:val="1"/>
      <w:numFmt w:val="decimal"/>
      <w:lvlText w:val="%1."/>
      <w:lvlJc w:val="left"/>
      <w:pPr>
        <w:ind w:left="393" w:hanging="393"/>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color="auto" w:fill="auto" w:val="clear"/>
      <w:tabs>
        <w:tab w:val="center" w:pos="4513"/>
        <w:tab w:val="right" w:pos="9026"/>
      </w:tabs>
      <w:suppressAutoHyphens w:val="0"/>
      <w:bidi w:val="0"/>
      <w:spacing w:after="0" w:before="0" w:line="240"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color="auto" w:fill="auto" w:val="clear"/>
      <w:tabs>
        <w:tab w:val="center" w:pos="4513"/>
        <w:tab w:val="right" w:pos="9026"/>
      </w:tabs>
      <w:suppressAutoHyphens w:val="0"/>
      <w:bidi w:val="0"/>
      <w:spacing w:after="0" w:before="0" w:line="240"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vertAlign w:val="baseline"/>
      <w:lang w:val="en-US"/>
      <w14:textFill>
        <w14:solidFill>
          <w14:srgbClr w14:val="000000"/>
        </w14:solidFill>
      </w14:textFill>
    </w:rPr>
  </w:style>
  <w:style w:type="paragraph" w:styleId="Body">
    <w:name w:val="Body"/>
    <w:next w:val="Body"/>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w:eastAsia="Arial" w:hAnsi="Arial"/>
      <w:b w:val="0"/>
      <w:bCs w:val="0"/>
      <w:i w:val="0"/>
      <w:iCs w:val="0"/>
      <w:caps w:val="0"/>
      <w:smallCaps w:val="0"/>
      <w:strike w:val="0"/>
      <w:dstrike w:val="0"/>
      <w:outline w:val="0"/>
      <w:color w:val="000000"/>
      <w:spacing w:val="0"/>
      <w:kern w:val="0"/>
      <w:position w:val="0"/>
      <w:sz w:val="22"/>
      <w:szCs w:val="22"/>
      <w:u w:color="000000" w:val="none"/>
      <w:vertAlign w:val="baseline"/>
      <w14:textFill>
        <w14:solidFill>
          <w14:srgbClr w14:val="000000"/>
        </w14:solidFill>
      </w14:textFill>
      <w14:textOutline>
        <w14:noFill/>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2"/>
      <w:szCs w:val="22"/>
      <w:u w:val="none"/>
      <w:vertAlign w:val="baseline"/>
      <w14:textFill>
        <w14:solidFill>
          <w14:srgbClr w14:val="000000"/>
        </w14:solidFill>
      </w14:textFill>
      <w14:textOutline>
        <w14:noFill/>
      </w14:textOutline>
    </w:rPr>
  </w:style>
  <w:style w:type="numbering" w:styleId="Numbered">
    <w:name w:val="Numbered"/>
    <w:pPr>
      <w:numPr>
        <w:numId w:val="1"/>
      </w:numPr>
    </w:pPr>
  </w:style>
  <w:style w:type="character" w:styleId="Link">
    <w:name w:val="Link"/>
    <w:rPr>
      <w:outline w:val="0"/>
      <w:color w:val="0000ff"/>
      <w:u w:color="0000ff" w:val="single"/>
      <w14:textFill>
        <w14:solidFill>
          <w14:srgbClr w14:val="0000FF"/>
        </w14:solidFill>
      </w14:textFill>
    </w:rPr>
  </w:style>
  <w:style w:type="character" w:styleId="Hyperlink.0">
    <w:name w:val="Hyperlink.0"/>
    <w:basedOn w:val="Link"/>
    <w:next w:val="Hyperlink.0"/>
    <w:rPr>
      <w:b w:val="1"/>
      <w:bCs w:val="1"/>
      <w:outline w:val="0"/>
      <w:color w:val="ff2600"/>
      <w14:textFill>
        <w14:solidFill>
          <w14:srgbClr w14:val="FF2600"/>
        </w14:solidFill>
      </w14:textFill>
    </w:rPr>
  </w:style>
  <w:style w:type="numbering" w:styleId="Bullet">
    <w:name w:val="Bullet"/>
    <w:pPr>
      <w:numPr>
        <w:numId w:val="4"/>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e.sl.award@ioskole.ne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8.png"/><Relationship Id="rId3" Type="http://schemas.openxmlformats.org/officeDocument/2006/relationships/image" Target="media/image7.jpg"/><Relationship Id="rId4" Type="http://schemas.openxmlformats.org/officeDocument/2006/relationships/image" Target="media/image2.png"/><Relationship Id="rId5" Type="http://schemas.openxmlformats.org/officeDocument/2006/relationships/image" Target="media/image5.jpg"/><Relationship Id="rId6" Type="http://schemas.openxmlformats.org/officeDocument/2006/relationships/image" Target="media/image4.jpg"/><Relationship Id="rId7"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0.png"/><Relationship Id="rId3" Type="http://schemas.openxmlformats.org/officeDocument/2006/relationships/image" Target="media/image6.jp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VqFWt9e9VdNy/L5nvvsU2APWw==">AMUW2mUd08lSUAkZuaPU35a8PanEvidRlSis5lq6JCcrooVLbfD0bDm4XOEcrnakP3HXVrIcGzq4hc9xD0UeBF9B9G1GhLUlXWYkqozJWGLhigFfKIzozR8=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